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F13" w:rsidRPr="00E86444" w:rsidRDefault="001D338D" w:rsidP="00153F13">
      <w:pPr>
        <w:jc w:val="center"/>
        <w:rPr>
          <w:rFonts w:ascii="Arial" w:hAnsi="Arial" w:cs="Arial"/>
          <w:b/>
          <w:sz w:val="24"/>
          <w:szCs w:val="24"/>
        </w:rPr>
      </w:pPr>
      <w:r>
        <w:rPr>
          <w:rFonts w:ascii="Arial" w:hAnsi="Arial" w:cs="Arial"/>
          <w:b/>
          <w:sz w:val="24"/>
          <w:szCs w:val="24"/>
        </w:rPr>
        <w:t>Některé konkrétní p</w:t>
      </w:r>
      <w:r w:rsidR="00153F13" w:rsidRPr="00E86444">
        <w:rPr>
          <w:rFonts w:ascii="Arial" w:hAnsi="Arial" w:cs="Arial"/>
          <w:b/>
          <w:sz w:val="24"/>
          <w:szCs w:val="24"/>
        </w:rPr>
        <w:t>řipomínky KDP ČR k</w:t>
      </w:r>
      <w:r>
        <w:rPr>
          <w:rFonts w:ascii="Arial" w:hAnsi="Arial" w:cs="Arial"/>
          <w:b/>
          <w:sz w:val="24"/>
          <w:szCs w:val="24"/>
        </w:rPr>
        <w:t> doprovodnému zákonu, který navazuje na nový zákon o účetnictví</w:t>
      </w:r>
    </w:p>
    <w:p w:rsidR="00E86444" w:rsidRDefault="00E86444" w:rsidP="00E86444">
      <w:pPr>
        <w:jc w:val="both"/>
        <w:rPr>
          <w:rFonts w:ascii="Arial" w:eastAsiaTheme="minorHAnsi" w:hAnsi="Arial" w:cs="Arial"/>
          <w:b/>
          <w:sz w:val="24"/>
          <w:szCs w:val="24"/>
          <w:lang w:eastAsia="en-US"/>
        </w:rPr>
      </w:pPr>
    </w:p>
    <w:p w:rsidR="001D338D" w:rsidRPr="00E06DB2" w:rsidRDefault="001D338D" w:rsidP="00471D42">
      <w:pPr>
        <w:numPr>
          <w:ilvl w:val="0"/>
          <w:numId w:val="7"/>
        </w:numPr>
        <w:spacing w:after="160" w:line="259" w:lineRule="auto"/>
        <w:jc w:val="both"/>
        <w:rPr>
          <w:rFonts w:ascii="Arial" w:hAnsi="Arial" w:cs="Arial"/>
          <w:sz w:val="24"/>
          <w:szCs w:val="24"/>
        </w:rPr>
      </w:pPr>
      <w:r w:rsidRPr="00E06DB2">
        <w:rPr>
          <w:rFonts w:ascii="Arial" w:hAnsi="Arial" w:cs="Arial"/>
          <w:sz w:val="24"/>
          <w:szCs w:val="24"/>
        </w:rPr>
        <w:t>ZDP stále nezohledňuje problematiku právnických osob s hotovostním základem daně. Ač toto zákonodárce slíbil již před 9 lety (cituji z důvodové zprávy z roku 2016: „</w:t>
      </w:r>
      <w:r w:rsidRPr="00E06DB2">
        <w:rPr>
          <w:rFonts w:ascii="Arial" w:hAnsi="Arial" w:cs="Arial"/>
          <w:i/>
          <w:iCs/>
          <w:sz w:val="24"/>
          <w:szCs w:val="24"/>
        </w:rPr>
        <w:t xml:space="preserve">Komplexní revize zákona o daních z příjmů v souvislosti s vedením jednoduchého účetnictví by představovala rozsáhlou úpravu, proto bude provedena v rámci připravovaného nového zákona o dani z příjmů nebo v nejbližší novele stávajícího zákona.“ ) </w:t>
      </w:r>
      <w:r w:rsidRPr="00E06DB2">
        <w:rPr>
          <w:rFonts w:ascii="Arial" w:hAnsi="Arial" w:cs="Arial"/>
          <w:iCs/>
          <w:sz w:val="24"/>
          <w:szCs w:val="24"/>
        </w:rPr>
        <w:t>ani po 9 letech tak nečiní:</w:t>
      </w:r>
    </w:p>
    <w:p w:rsidR="001D338D" w:rsidRPr="00E06DB2" w:rsidRDefault="001D338D" w:rsidP="00471D42">
      <w:pPr>
        <w:ind w:left="360"/>
        <w:jc w:val="both"/>
        <w:rPr>
          <w:rFonts w:ascii="Arial" w:eastAsia="Times New Roman" w:hAnsi="Arial" w:cs="Arial"/>
          <w:kern w:val="2"/>
          <w:sz w:val="24"/>
          <w:szCs w:val="24"/>
        </w:rPr>
      </w:pPr>
      <w:r w:rsidRPr="00E06DB2">
        <w:rPr>
          <w:rFonts w:ascii="Arial" w:hAnsi="Arial" w:cs="Arial"/>
          <w:sz w:val="24"/>
          <w:szCs w:val="24"/>
        </w:rPr>
        <w:t>přijaté DPH, které bude následně</w:t>
      </w:r>
      <w:bookmarkStart w:id="0" w:name="_GoBack"/>
      <w:bookmarkEnd w:id="0"/>
      <w:r w:rsidRPr="00E06DB2">
        <w:rPr>
          <w:rFonts w:ascii="Arial" w:hAnsi="Arial" w:cs="Arial"/>
          <w:sz w:val="24"/>
          <w:szCs w:val="24"/>
        </w:rPr>
        <w:t xml:space="preserve"> odvedeno státu; přijatá finanční zápůjčka nebo přijaté vrácení finanční zápůjčky, dotace na pořízení dlouhodobého majetku a kapitálové dovybavení jsou příjmem, který je pro poplatníky s akruálním základem vyloučeno § 21h a účetními postupy (není výnosem z hlediska účetnictví, tedy není příjmem pro účely ZDP). Pro poplatníky s hotovostním základem daně se jedná o příjem, který není ze základu daně vyloučen. Proto navrhujeme do § 18 odst. 1 za písm. h) doplnit písm. i):</w:t>
      </w:r>
      <w:r w:rsidRPr="00E06DB2">
        <w:rPr>
          <w:rFonts w:ascii="Arial" w:eastAsia="Times New Roman" w:hAnsi="Arial" w:cs="Arial"/>
          <w:sz w:val="24"/>
          <w:szCs w:val="24"/>
        </w:rPr>
        <w:t xml:space="preserve"> </w:t>
      </w:r>
      <w:r w:rsidRPr="00E06DB2">
        <w:rPr>
          <w:rFonts w:ascii="Arial" w:eastAsia="Times New Roman" w:hAnsi="Arial" w:cs="Arial"/>
          <w:i/>
          <w:kern w:val="2"/>
          <w:sz w:val="24"/>
          <w:szCs w:val="24"/>
        </w:rPr>
        <w:t xml:space="preserve">Předmětem daně nejsou... i) </w:t>
      </w:r>
      <w:r w:rsidRPr="00E06DB2">
        <w:rPr>
          <w:rFonts w:ascii="Arial" w:eastAsia="Times New Roman" w:hAnsi="Arial" w:cs="Arial"/>
          <w:i/>
          <w:kern w:val="2"/>
          <w:sz w:val="24"/>
          <w:szCs w:val="24"/>
          <w:u w:val="single"/>
        </w:rPr>
        <w:t>dotace na pořízení stálých aktiv a na kapitálové dovybavení a u plátce DPH přijaté DPH od odběratele</w:t>
      </w:r>
      <w:r w:rsidRPr="00E06DB2">
        <w:rPr>
          <w:rFonts w:ascii="Arial" w:eastAsia="Times New Roman" w:hAnsi="Arial" w:cs="Arial"/>
          <w:kern w:val="2"/>
          <w:sz w:val="24"/>
          <w:szCs w:val="24"/>
        </w:rPr>
        <w:t xml:space="preserve">.  </w:t>
      </w:r>
    </w:p>
    <w:p w:rsidR="001D338D" w:rsidRPr="00E06DB2" w:rsidRDefault="001D338D" w:rsidP="00471D42">
      <w:pPr>
        <w:pStyle w:val="Odstavecseseznamem"/>
        <w:numPr>
          <w:ilvl w:val="0"/>
          <w:numId w:val="7"/>
        </w:numPr>
        <w:tabs>
          <w:tab w:val="left" w:pos="851"/>
        </w:tabs>
        <w:spacing w:after="0" w:line="240" w:lineRule="auto"/>
        <w:jc w:val="both"/>
        <w:outlineLvl w:val="6"/>
        <w:rPr>
          <w:rFonts w:ascii="Arial" w:hAnsi="Arial" w:cs="Arial"/>
          <w:kern w:val="2"/>
          <w:sz w:val="24"/>
          <w:szCs w:val="24"/>
        </w:rPr>
      </w:pPr>
      <w:r w:rsidRPr="00E06DB2">
        <w:rPr>
          <w:rFonts w:ascii="Arial" w:hAnsi="Arial" w:cs="Arial"/>
          <w:kern w:val="2"/>
          <w:sz w:val="24"/>
          <w:szCs w:val="24"/>
        </w:rPr>
        <w:t>V rámci připomínkového řízení (bod CH.17) bylo vyhověno připomínce upřesnit v důvodové zprávě k § 23n odst. 2 písm. c) [v současné verzi se jedná o K § 23p odst. 2 písm. c)] pojetí, které prostředky byly na pořízení aktiva použity:</w:t>
      </w:r>
    </w:p>
    <w:p w:rsidR="001D338D" w:rsidRPr="00E06DB2" w:rsidRDefault="001D338D" w:rsidP="00471D42">
      <w:pPr>
        <w:pStyle w:val="Odstavecseseznamem"/>
        <w:ind w:left="360"/>
        <w:jc w:val="both"/>
        <w:rPr>
          <w:rFonts w:ascii="Arial" w:eastAsia="Calibri" w:hAnsi="Arial" w:cs="Arial"/>
          <w:i/>
          <w:sz w:val="24"/>
          <w:szCs w:val="24"/>
          <w:u w:val="single"/>
        </w:rPr>
      </w:pPr>
      <w:r w:rsidRPr="00E06DB2">
        <w:rPr>
          <w:rFonts w:ascii="Arial" w:eastAsia="Calibri" w:hAnsi="Arial" w:cs="Arial"/>
          <w:i/>
          <w:sz w:val="24"/>
          <w:szCs w:val="24"/>
          <w:u w:val="single"/>
        </w:rPr>
        <w:t>Vzhledem k tomu že finanční prostředky jsou určeny druhově, je vynaložením prostředků na daný účel chápáno (obdobně jako v § 25 odst. 1 písm. f) a § 20 odst. 7, a ostatních ustanoveních, kde je zmíněn požadavek krytí nákladů nebo použití prostředků) u účetní jednotky jako účetní přiřazení těchto prostředků k úhradě a u ostatních poplatníků prohlášení, že tak učinili, nikoliv jako povinnost prokazovat možnost skutečné fyzické úhrady. Tedy principiálně lze osvobozený dar přijatý později použít na úhradu pořízeného aktiva, která proběhla před přijetím daru.</w:t>
      </w:r>
    </w:p>
    <w:p w:rsidR="001D338D" w:rsidRDefault="001D338D" w:rsidP="00471D42">
      <w:pPr>
        <w:ind w:left="360"/>
        <w:jc w:val="both"/>
        <w:rPr>
          <w:rFonts w:ascii="Arial" w:eastAsia="Times New Roman" w:hAnsi="Arial" w:cs="Arial"/>
          <w:kern w:val="2"/>
          <w:sz w:val="24"/>
          <w:szCs w:val="24"/>
        </w:rPr>
      </w:pPr>
      <w:r w:rsidRPr="001D338D">
        <w:rPr>
          <w:rFonts w:ascii="Arial" w:eastAsia="Times New Roman" w:hAnsi="Arial" w:cs="Arial"/>
          <w:kern w:val="2"/>
          <w:sz w:val="24"/>
          <w:szCs w:val="24"/>
        </w:rPr>
        <w:t>Text se však do důvodové zprávy nepromítl.</w:t>
      </w:r>
    </w:p>
    <w:p w:rsidR="001D338D" w:rsidRPr="00471D42" w:rsidRDefault="001D338D" w:rsidP="00471D42">
      <w:pPr>
        <w:pStyle w:val="Odstavecseseznamem"/>
        <w:numPr>
          <w:ilvl w:val="0"/>
          <w:numId w:val="7"/>
        </w:numPr>
        <w:rPr>
          <w:rFonts w:ascii="Arial" w:eastAsia="Times New Roman" w:hAnsi="Arial" w:cs="Arial"/>
          <w:kern w:val="2"/>
          <w:sz w:val="24"/>
          <w:szCs w:val="24"/>
        </w:rPr>
      </w:pPr>
      <w:r w:rsidRPr="00471D42">
        <w:rPr>
          <w:rFonts w:ascii="Arial" w:hAnsi="Arial" w:cs="Arial"/>
          <w:iCs/>
          <w:sz w:val="24"/>
          <w:szCs w:val="24"/>
        </w:rPr>
        <w:t>Dle platného znění zákona č. 593/1992 Sb., o rezervách pro zjištění základu daně z příjmů s vyznačením navrhovaných změn a doplnění k 1. lednu 2025 (dále jen zákon o rezervách) by pojišťovny nemohly tvořit opravné položky k pohledávkám z titulu přijatého pojistného,</w:t>
      </w:r>
      <w:r w:rsidRPr="00471D42">
        <w:rPr>
          <w:rFonts w:ascii="Arial" w:hAnsi="Arial" w:cs="Arial"/>
          <w:iCs/>
          <w:sz w:val="24"/>
          <w:szCs w:val="24"/>
          <w:lang w:eastAsia="cs-CZ"/>
        </w:rPr>
        <w:t xml:space="preserve"> </w:t>
      </w:r>
      <w:r w:rsidRPr="00471D42">
        <w:rPr>
          <w:rFonts w:ascii="Arial" w:hAnsi="Arial" w:cs="Arial"/>
          <w:iCs/>
          <w:sz w:val="24"/>
          <w:szCs w:val="24"/>
        </w:rPr>
        <w:t>které jsou výdajem (nákladem) vynaloženým na dosažení, zajištění a udržení příjmů, nebo položkou snižující základ daně z příjmů u poplatníků daní z příjmů.</w:t>
      </w:r>
    </w:p>
    <w:p w:rsidR="001D338D" w:rsidRPr="001D338D" w:rsidRDefault="001D338D" w:rsidP="001D338D">
      <w:pPr>
        <w:numPr>
          <w:ilvl w:val="0"/>
          <w:numId w:val="8"/>
        </w:numPr>
        <w:spacing w:after="0" w:line="240" w:lineRule="auto"/>
        <w:jc w:val="both"/>
        <w:rPr>
          <w:rFonts w:ascii="Arial" w:hAnsi="Arial" w:cs="Arial"/>
          <w:iCs/>
          <w:sz w:val="24"/>
          <w:szCs w:val="24"/>
        </w:rPr>
      </w:pPr>
    </w:p>
    <w:p w:rsidR="001D338D" w:rsidRPr="001D338D" w:rsidRDefault="001D338D" w:rsidP="00471D42">
      <w:pPr>
        <w:spacing w:after="240"/>
        <w:ind w:left="360"/>
        <w:jc w:val="both"/>
        <w:rPr>
          <w:rFonts w:ascii="Arial" w:hAnsi="Arial" w:cs="Arial"/>
          <w:iCs/>
          <w:sz w:val="24"/>
          <w:szCs w:val="24"/>
        </w:rPr>
      </w:pPr>
      <w:r w:rsidRPr="001D338D">
        <w:rPr>
          <w:rFonts w:ascii="Arial" w:hAnsi="Arial" w:cs="Arial"/>
          <w:iCs/>
          <w:sz w:val="24"/>
          <w:szCs w:val="24"/>
        </w:rPr>
        <w:t xml:space="preserve">Podle standardu IFRS 17 se přijaté pojistné neúčtuje přímo jako výnos při jeho inkasu, jak tomu bylo podle některých předchozích účetních rámců (např. podle IFRS 4 nebo českých účetních předpisů). IFRS 17 přináší koncept tzv. </w:t>
      </w:r>
      <w:proofErr w:type="spellStart"/>
      <w:r w:rsidRPr="001D338D">
        <w:rPr>
          <w:rFonts w:ascii="Arial" w:hAnsi="Arial" w:cs="Arial"/>
          <w:iCs/>
          <w:sz w:val="24"/>
          <w:szCs w:val="24"/>
        </w:rPr>
        <w:t>contractual</w:t>
      </w:r>
      <w:proofErr w:type="spellEnd"/>
      <w:r w:rsidRPr="001D338D">
        <w:rPr>
          <w:rFonts w:ascii="Arial" w:hAnsi="Arial" w:cs="Arial"/>
          <w:iCs/>
          <w:sz w:val="24"/>
          <w:szCs w:val="24"/>
        </w:rPr>
        <w:t xml:space="preserve"> </w:t>
      </w:r>
      <w:proofErr w:type="spellStart"/>
      <w:r w:rsidRPr="001D338D">
        <w:rPr>
          <w:rFonts w:ascii="Arial" w:hAnsi="Arial" w:cs="Arial"/>
          <w:iCs/>
          <w:sz w:val="24"/>
          <w:szCs w:val="24"/>
        </w:rPr>
        <w:t>service</w:t>
      </w:r>
      <w:proofErr w:type="spellEnd"/>
      <w:r w:rsidRPr="001D338D">
        <w:rPr>
          <w:rFonts w:ascii="Arial" w:hAnsi="Arial" w:cs="Arial"/>
          <w:iCs/>
          <w:sz w:val="24"/>
          <w:szCs w:val="24"/>
        </w:rPr>
        <w:t xml:space="preserve"> </w:t>
      </w:r>
      <w:proofErr w:type="spellStart"/>
      <w:r w:rsidRPr="001D338D">
        <w:rPr>
          <w:rFonts w:ascii="Arial" w:hAnsi="Arial" w:cs="Arial"/>
          <w:iCs/>
          <w:sz w:val="24"/>
          <w:szCs w:val="24"/>
        </w:rPr>
        <w:t>margin</w:t>
      </w:r>
      <w:proofErr w:type="spellEnd"/>
      <w:r w:rsidRPr="001D338D">
        <w:rPr>
          <w:rFonts w:ascii="Arial" w:hAnsi="Arial" w:cs="Arial"/>
          <w:iCs/>
          <w:sz w:val="24"/>
          <w:szCs w:val="24"/>
        </w:rPr>
        <w:t xml:space="preserve"> (CSM) a zachází s pojistným jako s částí závazku ze služby. Přijaté pojistné není výnosem při přijetí, ale je součástí měření pojistného závazku. Výnos se uznává postupně, jak je poskytována služba (tj. krytí rizika).</w:t>
      </w:r>
    </w:p>
    <w:p w:rsidR="001D338D" w:rsidRPr="001D338D" w:rsidRDefault="001D338D" w:rsidP="00471D42">
      <w:pPr>
        <w:ind w:left="360"/>
        <w:jc w:val="both"/>
        <w:rPr>
          <w:rFonts w:ascii="Arial" w:hAnsi="Arial" w:cs="Arial"/>
          <w:iCs/>
          <w:sz w:val="24"/>
          <w:szCs w:val="24"/>
        </w:rPr>
      </w:pPr>
      <w:r w:rsidRPr="001D338D">
        <w:rPr>
          <w:rFonts w:ascii="Arial" w:hAnsi="Arial" w:cs="Arial"/>
          <w:iCs/>
          <w:sz w:val="24"/>
          <w:szCs w:val="24"/>
        </w:rPr>
        <w:lastRenderedPageBreak/>
        <w:t>Pohledávky z titulu přijatého pojistného nejsou v souladu s §2, odst. 2 a odst. 6 zákona o rezervách.</w:t>
      </w:r>
    </w:p>
    <w:p w:rsidR="001D338D" w:rsidRPr="001D338D" w:rsidRDefault="001D338D" w:rsidP="001D338D">
      <w:pPr>
        <w:jc w:val="both"/>
        <w:rPr>
          <w:rFonts w:ascii="Arial" w:hAnsi="Arial" w:cs="Arial"/>
          <w:iCs/>
          <w:sz w:val="24"/>
          <w:szCs w:val="24"/>
        </w:rPr>
      </w:pPr>
    </w:p>
    <w:p w:rsidR="001D338D" w:rsidRPr="001D338D" w:rsidRDefault="001D338D" w:rsidP="00471D42">
      <w:pPr>
        <w:ind w:left="360"/>
        <w:jc w:val="both"/>
        <w:rPr>
          <w:rFonts w:ascii="Arial" w:hAnsi="Arial" w:cs="Arial"/>
          <w:iCs/>
          <w:sz w:val="24"/>
          <w:szCs w:val="24"/>
        </w:rPr>
      </w:pPr>
      <w:r w:rsidRPr="001D338D">
        <w:rPr>
          <w:rFonts w:ascii="Arial" w:hAnsi="Arial" w:cs="Arial"/>
          <w:iCs/>
          <w:sz w:val="24"/>
          <w:szCs w:val="24"/>
        </w:rPr>
        <w:t>Návrh:</w:t>
      </w:r>
    </w:p>
    <w:p w:rsidR="001D338D" w:rsidRPr="001D338D" w:rsidRDefault="001D338D" w:rsidP="00471D42">
      <w:pPr>
        <w:numPr>
          <w:ilvl w:val="0"/>
          <w:numId w:val="9"/>
        </w:numPr>
        <w:spacing w:after="0" w:line="240" w:lineRule="auto"/>
        <w:ind w:left="1080"/>
        <w:jc w:val="both"/>
        <w:rPr>
          <w:rFonts w:ascii="Arial" w:eastAsia="Times New Roman" w:hAnsi="Arial" w:cs="Arial"/>
          <w:iCs/>
          <w:sz w:val="24"/>
          <w:szCs w:val="24"/>
        </w:rPr>
      </w:pPr>
      <w:r w:rsidRPr="001D338D">
        <w:rPr>
          <w:rFonts w:ascii="Arial" w:eastAsia="Times New Roman" w:hAnsi="Arial" w:cs="Arial"/>
          <w:iCs/>
          <w:sz w:val="24"/>
          <w:szCs w:val="24"/>
        </w:rPr>
        <w:t>Doplnit do §2, odst. 6 následující:</w:t>
      </w:r>
    </w:p>
    <w:p w:rsidR="001D338D" w:rsidRPr="001D338D" w:rsidRDefault="001D338D" w:rsidP="00471D42">
      <w:pPr>
        <w:numPr>
          <w:ilvl w:val="1"/>
          <w:numId w:val="9"/>
        </w:numPr>
        <w:spacing w:after="0" w:line="240" w:lineRule="auto"/>
        <w:ind w:left="1800"/>
        <w:jc w:val="both"/>
        <w:rPr>
          <w:rFonts w:ascii="Arial" w:eastAsia="Times New Roman" w:hAnsi="Arial" w:cs="Arial"/>
          <w:iCs/>
          <w:sz w:val="24"/>
          <w:szCs w:val="24"/>
        </w:rPr>
      </w:pPr>
      <w:r w:rsidRPr="001D338D">
        <w:rPr>
          <w:rFonts w:ascii="Arial" w:eastAsia="Times New Roman" w:hAnsi="Arial" w:cs="Arial"/>
          <w:iCs/>
          <w:sz w:val="24"/>
          <w:szCs w:val="24"/>
        </w:rPr>
        <w:t>písm. d) bylo podle účetních předpisů účtováno rozvahově, jedná-li se o pohledávku z přijatého pojistného v pojišťovnictví</w:t>
      </w:r>
    </w:p>
    <w:p w:rsidR="001D338D" w:rsidRPr="001D338D" w:rsidRDefault="001D338D" w:rsidP="001D338D">
      <w:pPr>
        <w:rPr>
          <w:rFonts w:ascii="Arial" w:eastAsia="Times New Roman" w:hAnsi="Arial" w:cs="Arial"/>
          <w:kern w:val="2"/>
          <w:sz w:val="24"/>
          <w:szCs w:val="24"/>
        </w:rPr>
      </w:pPr>
    </w:p>
    <w:p w:rsidR="001D338D" w:rsidRPr="001D338D" w:rsidRDefault="001D338D" w:rsidP="001D338D">
      <w:pPr>
        <w:ind w:left="360"/>
        <w:rPr>
          <w:rFonts w:ascii="Arial" w:eastAsia="Times New Roman" w:hAnsi="Arial" w:cs="Arial"/>
          <w:kern w:val="2"/>
          <w:sz w:val="24"/>
          <w:szCs w:val="24"/>
        </w:rPr>
      </w:pPr>
    </w:p>
    <w:p w:rsidR="00471D42" w:rsidRDefault="00471D42" w:rsidP="00471D42">
      <w:pPr>
        <w:rPr>
          <w:rFonts w:ascii="Arial" w:eastAsia="Times New Roman" w:hAnsi="Arial" w:cs="Arial"/>
          <w:kern w:val="2"/>
          <w:sz w:val="24"/>
          <w:szCs w:val="24"/>
        </w:rPr>
      </w:pPr>
    </w:p>
    <w:p w:rsidR="001D338D" w:rsidRPr="001D338D" w:rsidRDefault="00471D42" w:rsidP="00471D42">
      <w:pPr>
        <w:rPr>
          <w:rFonts w:ascii="Arial" w:eastAsia="Times New Roman" w:hAnsi="Arial" w:cs="Arial"/>
          <w:kern w:val="2"/>
          <w:sz w:val="24"/>
          <w:szCs w:val="24"/>
        </w:rPr>
      </w:pPr>
      <w:r>
        <w:rPr>
          <w:rFonts w:ascii="Arial" w:eastAsia="Times New Roman" w:hAnsi="Arial" w:cs="Arial"/>
          <w:kern w:val="2"/>
          <w:sz w:val="24"/>
          <w:szCs w:val="24"/>
        </w:rPr>
        <w:t>Připomínky zaslali</w:t>
      </w:r>
      <w:r w:rsidR="001D338D" w:rsidRPr="001D338D">
        <w:rPr>
          <w:rFonts w:ascii="Arial" w:eastAsia="Times New Roman" w:hAnsi="Arial" w:cs="Arial"/>
          <w:kern w:val="2"/>
          <w:sz w:val="24"/>
          <w:szCs w:val="24"/>
        </w:rPr>
        <w:t xml:space="preserve">: RNDr. Petr Beránek, člen Sekce neziskové organizace, </w:t>
      </w:r>
      <w:r>
        <w:rPr>
          <w:rFonts w:ascii="Arial" w:eastAsia="Times New Roman" w:hAnsi="Arial" w:cs="Arial"/>
          <w:kern w:val="2"/>
          <w:sz w:val="24"/>
          <w:szCs w:val="24"/>
        </w:rPr>
        <w:t xml:space="preserve">Ing. </w:t>
      </w:r>
      <w:r w:rsidR="005714C9">
        <w:rPr>
          <w:rFonts w:ascii="Arial" w:eastAsia="Times New Roman" w:hAnsi="Arial" w:cs="Arial"/>
          <w:kern w:val="2"/>
          <w:sz w:val="24"/>
          <w:szCs w:val="24"/>
        </w:rPr>
        <w:t xml:space="preserve">Mgr. </w:t>
      </w:r>
      <w:r>
        <w:rPr>
          <w:rFonts w:ascii="Arial" w:eastAsia="Times New Roman" w:hAnsi="Arial" w:cs="Arial"/>
          <w:kern w:val="2"/>
          <w:sz w:val="24"/>
          <w:szCs w:val="24"/>
        </w:rPr>
        <w:t>Tereza Petrášová, vedoucí Sekce mezinárodní zdanění</w:t>
      </w:r>
    </w:p>
    <w:p w:rsidR="00E86444" w:rsidRPr="001D338D" w:rsidRDefault="00E86444" w:rsidP="00E86444">
      <w:pPr>
        <w:jc w:val="both"/>
        <w:rPr>
          <w:rFonts w:ascii="Arial" w:hAnsi="Arial" w:cs="Arial"/>
          <w:sz w:val="24"/>
          <w:szCs w:val="24"/>
        </w:rPr>
      </w:pPr>
    </w:p>
    <w:p w:rsidR="00E86444" w:rsidRPr="001D338D" w:rsidRDefault="00E86444" w:rsidP="004D4FD6">
      <w:pPr>
        <w:jc w:val="both"/>
        <w:rPr>
          <w:rFonts w:ascii="Arial" w:hAnsi="Arial" w:cs="Arial"/>
          <w:sz w:val="24"/>
          <w:szCs w:val="24"/>
        </w:rPr>
      </w:pPr>
    </w:p>
    <w:p w:rsidR="004D4FD6" w:rsidRPr="001D338D" w:rsidRDefault="00E86444" w:rsidP="004D4FD6">
      <w:pPr>
        <w:jc w:val="both"/>
        <w:rPr>
          <w:rFonts w:ascii="Arial" w:hAnsi="Arial" w:cs="Arial"/>
          <w:sz w:val="24"/>
          <w:szCs w:val="24"/>
        </w:rPr>
      </w:pPr>
      <w:r w:rsidRPr="001D338D">
        <w:rPr>
          <w:rFonts w:ascii="Arial" w:hAnsi="Arial" w:cs="Arial"/>
          <w:sz w:val="24"/>
          <w:szCs w:val="24"/>
        </w:rPr>
        <w:t>I</w:t>
      </w:r>
      <w:r w:rsidR="004D4FD6" w:rsidRPr="001D338D">
        <w:rPr>
          <w:rFonts w:ascii="Arial" w:hAnsi="Arial" w:cs="Arial"/>
          <w:sz w:val="24"/>
          <w:szCs w:val="24"/>
        </w:rPr>
        <w:t>ng. Petra Pospíšilová</w:t>
      </w:r>
    </w:p>
    <w:p w:rsidR="004D4FD6" w:rsidRPr="001D338D" w:rsidRDefault="004D4FD6" w:rsidP="004D4FD6">
      <w:pPr>
        <w:jc w:val="both"/>
        <w:rPr>
          <w:rFonts w:ascii="Arial" w:hAnsi="Arial" w:cs="Arial"/>
          <w:sz w:val="24"/>
          <w:szCs w:val="24"/>
        </w:rPr>
      </w:pPr>
      <w:r w:rsidRPr="001D338D">
        <w:rPr>
          <w:rFonts w:ascii="Arial" w:hAnsi="Arial" w:cs="Arial"/>
          <w:sz w:val="24"/>
          <w:szCs w:val="24"/>
        </w:rPr>
        <w:t>prezidentka KDP ČR</w:t>
      </w:r>
    </w:p>
    <w:sectPr w:rsidR="004D4FD6" w:rsidRPr="001D338D" w:rsidSect="003368E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B6E" w:rsidRDefault="00E91B6E" w:rsidP="00527885">
      <w:pPr>
        <w:spacing w:after="0" w:line="240" w:lineRule="auto"/>
      </w:pPr>
      <w:r>
        <w:separator/>
      </w:r>
    </w:p>
  </w:endnote>
  <w:endnote w:type="continuationSeparator" w:id="0">
    <w:p w:rsidR="00E91B6E" w:rsidRDefault="00E91B6E" w:rsidP="0052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616769"/>
      <w:docPartObj>
        <w:docPartGallery w:val="Page Numbers (Bottom of Page)"/>
        <w:docPartUnique/>
      </w:docPartObj>
    </w:sdtPr>
    <w:sdtEndPr/>
    <w:sdtContent>
      <w:p w:rsidR="00E91B6E" w:rsidRDefault="00C8270B" w:rsidP="00345DCF">
        <w:pPr>
          <w:pStyle w:val="Zpat"/>
          <w:pBdr>
            <w:top w:val="single" w:sz="4" w:space="1" w:color="auto"/>
          </w:pBdr>
          <w:jc w:val="center"/>
        </w:pPr>
        <w:r>
          <w:fldChar w:fldCharType="begin"/>
        </w:r>
        <w:r>
          <w:instrText xml:space="preserve"> PAGE   \* MERGEFORMAT </w:instrText>
        </w:r>
        <w:r>
          <w:fldChar w:fldCharType="separate"/>
        </w:r>
        <w:r w:rsidR="00ED6777">
          <w:rPr>
            <w:noProof/>
          </w:rPr>
          <w:t>2</w:t>
        </w:r>
        <w:r>
          <w:rPr>
            <w:noProof/>
          </w:rPr>
          <w:fldChar w:fldCharType="end"/>
        </w:r>
      </w:p>
    </w:sdtContent>
  </w:sdt>
  <w:p w:rsidR="00E91B6E" w:rsidRDefault="00E91B6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B6E" w:rsidRDefault="00E91B6E" w:rsidP="00527885">
      <w:pPr>
        <w:spacing w:after="0" w:line="240" w:lineRule="auto"/>
      </w:pPr>
      <w:r>
        <w:separator/>
      </w:r>
    </w:p>
  </w:footnote>
  <w:footnote w:type="continuationSeparator" w:id="0">
    <w:p w:rsidR="00E91B6E" w:rsidRDefault="00E91B6E" w:rsidP="00527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B6E" w:rsidRDefault="00ED6777" w:rsidP="00345DCF">
    <w:pPr>
      <w:pStyle w:val="Zhlav"/>
      <w:pBdr>
        <w:bottom w:val="single" w:sz="4" w:space="1" w:color="auto"/>
      </w:pBdr>
    </w:pPr>
    <w:r>
      <w:t>18</w:t>
    </w:r>
    <w:r w:rsidR="001D338D">
      <w:t>. 06. 2025</w:t>
    </w:r>
    <w:r w:rsidR="00B953EF">
      <w:tab/>
    </w:r>
    <w:r w:rsidR="00B953EF">
      <w:tab/>
      <w:t>Připomínky KDP ČR</w:t>
    </w:r>
    <w:r w:rsidR="00E91B6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36D"/>
    <w:multiLevelType w:val="hybridMultilevel"/>
    <w:tmpl w:val="23AE3B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0AB327BC"/>
    <w:multiLevelType w:val="hybridMultilevel"/>
    <w:tmpl w:val="2016671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19225C6D"/>
    <w:multiLevelType w:val="hybridMultilevel"/>
    <w:tmpl w:val="39EEAF2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C661B7E"/>
    <w:multiLevelType w:val="multilevel"/>
    <w:tmpl w:val="7116B3E0"/>
    <w:lvl w:ilvl="0">
      <w:start w:val="1"/>
      <w:numFmt w:val="none"/>
      <w:isLgl/>
      <w:suff w:val="nothing"/>
      <w:lvlText w:val=""/>
      <w:lvlJc w:val="left"/>
      <w:pPr>
        <w:ind w:left="0" w:firstLine="0"/>
      </w:pPr>
    </w:lvl>
    <w:lvl w:ilvl="1">
      <w:start w:val="1"/>
      <w:numFmt w:val="none"/>
      <w:lvlRestart w:val="0"/>
      <w:suff w:val="nothing"/>
      <w:lvlText w:val=""/>
      <w:lvlJc w:val="left"/>
      <w:pPr>
        <w:ind w:left="0" w:firstLine="0"/>
      </w:pPr>
    </w:lvl>
    <w:lvl w:ilvl="2">
      <w:start w:val="1"/>
      <w:numFmt w:val="decimal"/>
      <w:isLgl/>
      <w:lvlText w:val="(%3)"/>
      <w:lvlJc w:val="left"/>
      <w:pPr>
        <w:tabs>
          <w:tab w:val="num" w:pos="783"/>
        </w:tabs>
        <w:ind w:left="1" w:firstLine="425"/>
      </w:pPr>
      <w:rPr>
        <w:strike w:val="0"/>
        <w:dstrike w:val="0"/>
        <w:u w:val="none"/>
        <w:effect w:val="none"/>
      </w:rPr>
    </w:lvl>
    <w:lvl w:ilvl="3">
      <w:start w:val="1"/>
      <w:numFmt w:val="lowerLetter"/>
      <w:lvlText w:val="%4)"/>
      <w:lvlJc w:val="left"/>
      <w:pPr>
        <w:tabs>
          <w:tab w:val="num" w:pos="425"/>
        </w:tabs>
        <w:ind w:left="425" w:hanging="425"/>
      </w:pPr>
      <w:rPr>
        <w:b w:val="0"/>
      </w:rPr>
    </w:lvl>
    <w:lvl w:ilvl="4">
      <w:start w:val="1"/>
      <w:numFmt w:val="decimal"/>
      <w:isLgl/>
      <w:lvlText w:val="%5."/>
      <w:lvlJc w:val="left"/>
      <w:pPr>
        <w:tabs>
          <w:tab w:val="num" w:pos="851"/>
        </w:tabs>
        <w:ind w:left="851" w:hanging="426"/>
      </w:pPr>
    </w:lvl>
    <w:lvl w:ilvl="5">
      <w:start w:val="1"/>
      <w:numFmt w:val="none"/>
      <w:suff w:val="nothing"/>
      <w:lvlText w:val="%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3C2490A"/>
    <w:multiLevelType w:val="hybridMultilevel"/>
    <w:tmpl w:val="6D16720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5BED5207"/>
    <w:multiLevelType w:val="hybridMultilevel"/>
    <w:tmpl w:val="CB5E4AC2"/>
    <w:lvl w:ilvl="0" w:tplc="0405000F">
      <w:start w:val="1"/>
      <w:numFmt w:val="decimal"/>
      <w:lvlText w:val="%1."/>
      <w:lvlJc w:val="left"/>
      <w:pPr>
        <w:tabs>
          <w:tab w:val="num" w:pos="360"/>
        </w:tabs>
        <w:ind w:left="360" w:hanging="360"/>
      </w:pPr>
      <w:rPr>
        <w:rFonts w:hint="default"/>
      </w:rPr>
    </w:lvl>
    <w:lvl w:ilvl="1" w:tplc="03A635B8">
      <w:start w:val="1"/>
      <w:numFmt w:val="bullet"/>
      <w:lvlText w:val="•"/>
      <w:lvlJc w:val="left"/>
      <w:pPr>
        <w:tabs>
          <w:tab w:val="num" w:pos="1080"/>
        </w:tabs>
        <w:ind w:left="1080" w:hanging="360"/>
      </w:pPr>
      <w:rPr>
        <w:rFonts w:ascii="Times New Roman" w:hAnsi="Times New Roman" w:hint="default"/>
      </w:rPr>
    </w:lvl>
    <w:lvl w:ilvl="2" w:tplc="2AF2151E" w:tentative="1">
      <w:start w:val="1"/>
      <w:numFmt w:val="bullet"/>
      <w:lvlText w:val="•"/>
      <w:lvlJc w:val="left"/>
      <w:pPr>
        <w:tabs>
          <w:tab w:val="num" w:pos="1800"/>
        </w:tabs>
        <w:ind w:left="1800" w:hanging="360"/>
      </w:pPr>
      <w:rPr>
        <w:rFonts w:ascii="Times New Roman" w:hAnsi="Times New Roman" w:hint="default"/>
      </w:rPr>
    </w:lvl>
    <w:lvl w:ilvl="3" w:tplc="79FC37AA" w:tentative="1">
      <w:start w:val="1"/>
      <w:numFmt w:val="bullet"/>
      <w:lvlText w:val="•"/>
      <w:lvlJc w:val="left"/>
      <w:pPr>
        <w:tabs>
          <w:tab w:val="num" w:pos="2520"/>
        </w:tabs>
        <w:ind w:left="2520" w:hanging="360"/>
      </w:pPr>
      <w:rPr>
        <w:rFonts w:ascii="Times New Roman" w:hAnsi="Times New Roman" w:hint="default"/>
      </w:rPr>
    </w:lvl>
    <w:lvl w:ilvl="4" w:tplc="C0CA7C18" w:tentative="1">
      <w:start w:val="1"/>
      <w:numFmt w:val="bullet"/>
      <w:lvlText w:val="•"/>
      <w:lvlJc w:val="left"/>
      <w:pPr>
        <w:tabs>
          <w:tab w:val="num" w:pos="3240"/>
        </w:tabs>
        <w:ind w:left="3240" w:hanging="360"/>
      </w:pPr>
      <w:rPr>
        <w:rFonts w:ascii="Times New Roman" w:hAnsi="Times New Roman" w:hint="default"/>
      </w:rPr>
    </w:lvl>
    <w:lvl w:ilvl="5" w:tplc="3DD2265E" w:tentative="1">
      <w:start w:val="1"/>
      <w:numFmt w:val="bullet"/>
      <w:lvlText w:val="•"/>
      <w:lvlJc w:val="left"/>
      <w:pPr>
        <w:tabs>
          <w:tab w:val="num" w:pos="3960"/>
        </w:tabs>
        <w:ind w:left="3960" w:hanging="360"/>
      </w:pPr>
      <w:rPr>
        <w:rFonts w:ascii="Times New Roman" w:hAnsi="Times New Roman" w:hint="default"/>
      </w:rPr>
    </w:lvl>
    <w:lvl w:ilvl="6" w:tplc="559809C2" w:tentative="1">
      <w:start w:val="1"/>
      <w:numFmt w:val="bullet"/>
      <w:lvlText w:val="•"/>
      <w:lvlJc w:val="left"/>
      <w:pPr>
        <w:tabs>
          <w:tab w:val="num" w:pos="4680"/>
        </w:tabs>
        <w:ind w:left="4680" w:hanging="360"/>
      </w:pPr>
      <w:rPr>
        <w:rFonts w:ascii="Times New Roman" w:hAnsi="Times New Roman" w:hint="default"/>
      </w:rPr>
    </w:lvl>
    <w:lvl w:ilvl="7" w:tplc="B2087D2A" w:tentative="1">
      <w:start w:val="1"/>
      <w:numFmt w:val="bullet"/>
      <w:lvlText w:val="•"/>
      <w:lvlJc w:val="left"/>
      <w:pPr>
        <w:tabs>
          <w:tab w:val="num" w:pos="5400"/>
        </w:tabs>
        <w:ind w:left="5400" w:hanging="360"/>
      </w:pPr>
      <w:rPr>
        <w:rFonts w:ascii="Times New Roman" w:hAnsi="Times New Roman" w:hint="default"/>
      </w:rPr>
    </w:lvl>
    <w:lvl w:ilvl="8" w:tplc="35963C1A"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5EF22CEC"/>
    <w:multiLevelType w:val="hybridMultilevel"/>
    <w:tmpl w:val="F9C0CC2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60E92278"/>
    <w:multiLevelType w:val="hybridMultilevel"/>
    <w:tmpl w:val="8468F7A8"/>
    <w:lvl w:ilvl="0" w:tplc="914CBB86">
      <w:start w:val="30"/>
      <w:numFmt w:val="bullet"/>
      <w:lvlText w:val="-"/>
      <w:lvlJc w:val="left"/>
      <w:pPr>
        <w:ind w:left="720" w:hanging="360"/>
      </w:pPr>
      <w:rPr>
        <w:rFonts w:ascii="Arial" w:eastAsiaTheme="minorHAns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B1432CE"/>
    <w:multiLevelType w:val="hybridMultilevel"/>
    <w:tmpl w:val="25F0C7C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7"/>
  </w:num>
  <w:num w:numId="6">
    <w:abstractNumId w:val="8"/>
  </w:num>
  <w:num w:numId="7">
    <w:abstractNumId w:val="5"/>
  </w:num>
  <w:num w:numId="8">
    <w:abstractNumId w:val="3"/>
    <w:lvlOverride w:ilvl="0">
      <w:lvl w:ilvl="0">
        <w:start w:val="1"/>
        <w:numFmt w:val="decimal"/>
        <w:isLgl/>
        <w:suff w:val="nothing"/>
        <w:lvlText w:val=""/>
        <w:lvlJc w:val="left"/>
        <w:pPr>
          <w:ind w:left="0" w:firstLine="0"/>
        </w:pPr>
      </w:lvl>
    </w:lvlOverride>
    <w:lvlOverride w:ilvl="1">
      <w:lvl w:ilvl="1">
        <w:start w:val="1"/>
        <w:numFmt w:val="decimal"/>
        <w:lvlRestart w:val="0"/>
        <w:suff w:val="nothing"/>
        <w:lvlText w:val=""/>
        <w:lvlJc w:val="left"/>
        <w:pPr>
          <w:ind w:left="0" w:firstLine="0"/>
        </w:pPr>
      </w:lvl>
    </w:lvlOverride>
    <w:lvlOverride w:ilvl="2">
      <w:lvl w:ilvl="2">
        <w:start w:val="1"/>
        <w:numFmt w:val="decimal"/>
        <w:isLgl/>
        <w:lvlText w:val="(%3)"/>
        <w:lvlJc w:val="left"/>
        <w:pPr>
          <w:tabs>
            <w:tab w:val="num" w:pos="783"/>
          </w:tabs>
          <w:ind w:left="1" w:firstLine="425"/>
        </w:pPr>
        <w:rPr>
          <w:strike w:val="0"/>
          <w:dstrike w:val="0"/>
          <w:u w:val="none"/>
          <w:effect w:val="none"/>
        </w:rPr>
      </w:lvl>
    </w:lvlOverride>
    <w:lvlOverride w:ilvl="3">
      <w:lvl w:ilvl="3">
        <w:start w:val="1"/>
        <w:numFmt w:val="decimal"/>
        <w:lvlText w:val="%4)"/>
        <w:lvlJc w:val="left"/>
        <w:pPr>
          <w:tabs>
            <w:tab w:val="num" w:pos="425"/>
          </w:tabs>
          <w:ind w:left="425" w:hanging="425"/>
        </w:pPr>
        <w:rPr>
          <w:b w:val="0"/>
        </w:rPr>
      </w:lvl>
    </w:lvlOverride>
    <w:lvlOverride w:ilvl="4">
      <w:lvl w:ilvl="4">
        <w:start w:val="1"/>
        <w:numFmt w:val="decimal"/>
        <w:isLgl/>
        <w:lvlText w:val="%5."/>
        <w:lvlJc w:val="left"/>
        <w:pPr>
          <w:tabs>
            <w:tab w:val="num" w:pos="851"/>
          </w:tabs>
          <w:ind w:left="851" w:hanging="426"/>
        </w:pPr>
      </w:lvl>
    </w:lvlOverride>
    <w:lvlOverride w:ilvl="5">
      <w:lvl w:ilvl="5">
        <w:start w:val="1"/>
        <w:numFmt w:val="decimal"/>
        <w:suff w:val="nothing"/>
        <w:lvlText w:val="%6"/>
        <w:lvlJc w:val="left"/>
        <w:pPr>
          <w:ind w:left="0" w:firstLine="0"/>
        </w:pPr>
      </w:lvl>
    </w:lvlOverride>
    <w:lvlOverride w:ilvl="6">
      <w:lvl w:ilvl="6">
        <w:start w:val="1"/>
        <w:numFmt w:val="decimal"/>
        <w:suff w:val="nothing"/>
        <w:lvlText w:val=""/>
        <w:lvlJc w:val="left"/>
        <w:pPr>
          <w:ind w:left="0" w:firstLine="0"/>
        </w:pPr>
      </w:lvl>
    </w:lvlOverride>
    <w:lvlOverride w:ilvl="7">
      <w:lvl w:ilvl="7">
        <w:start w:val="1"/>
        <w:numFmt w:val="decimal"/>
        <w:suff w:val="nothing"/>
        <w:lvlText w:val=""/>
        <w:lvlJc w:val="left"/>
        <w:pPr>
          <w:ind w:left="0" w:firstLine="0"/>
        </w:pPr>
      </w:lvl>
    </w:lvlOverride>
    <w:lvlOverride w:ilvl="8">
      <w:lvl w:ilvl="8">
        <w:start w:val="1"/>
        <w:numFmt w:val="decimal"/>
        <w:suff w:val="nothing"/>
        <w:lvlText w:val=""/>
        <w:lvlJc w:val="left"/>
        <w:pPr>
          <w:ind w:left="0" w:firstLine="0"/>
        </w:pPr>
      </w:lvl>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9A"/>
    <w:rsid w:val="000569A2"/>
    <w:rsid w:val="00083E55"/>
    <w:rsid w:val="000C5E97"/>
    <w:rsid w:val="000D259A"/>
    <w:rsid w:val="000E25BB"/>
    <w:rsid w:val="00153F13"/>
    <w:rsid w:val="00161B02"/>
    <w:rsid w:val="00174CD7"/>
    <w:rsid w:val="001D338D"/>
    <w:rsid w:val="001E51D8"/>
    <w:rsid w:val="00276F5E"/>
    <w:rsid w:val="00285925"/>
    <w:rsid w:val="003368E6"/>
    <w:rsid w:val="00345DCF"/>
    <w:rsid w:val="003855AF"/>
    <w:rsid w:val="0038594A"/>
    <w:rsid w:val="00386D35"/>
    <w:rsid w:val="003E1F30"/>
    <w:rsid w:val="00433FA1"/>
    <w:rsid w:val="004506FB"/>
    <w:rsid w:val="00471D42"/>
    <w:rsid w:val="004A2353"/>
    <w:rsid w:val="004D4FD6"/>
    <w:rsid w:val="004E3382"/>
    <w:rsid w:val="00527885"/>
    <w:rsid w:val="005714C9"/>
    <w:rsid w:val="005A5793"/>
    <w:rsid w:val="006169B6"/>
    <w:rsid w:val="00644B69"/>
    <w:rsid w:val="00672789"/>
    <w:rsid w:val="00702390"/>
    <w:rsid w:val="00721113"/>
    <w:rsid w:val="0074242E"/>
    <w:rsid w:val="007549D3"/>
    <w:rsid w:val="007A1A02"/>
    <w:rsid w:val="007C5B58"/>
    <w:rsid w:val="008228F7"/>
    <w:rsid w:val="00833D6A"/>
    <w:rsid w:val="00853974"/>
    <w:rsid w:val="00897D24"/>
    <w:rsid w:val="008C27C8"/>
    <w:rsid w:val="008F1B7B"/>
    <w:rsid w:val="008F79F0"/>
    <w:rsid w:val="009815CB"/>
    <w:rsid w:val="009A5656"/>
    <w:rsid w:val="00A13C48"/>
    <w:rsid w:val="00A15507"/>
    <w:rsid w:val="00AD46C7"/>
    <w:rsid w:val="00B46165"/>
    <w:rsid w:val="00B64B32"/>
    <w:rsid w:val="00B9185E"/>
    <w:rsid w:val="00B953EF"/>
    <w:rsid w:val="00BF0439"/>
    <w:rsid w:val="00BF4C7D"/>
    <w:rsid w:val="00C40FFB"/>
    <w:rsid w:val="00C8270B"/>
    <w:rsid w:val="00CD7AAA"/>
    <w:rsid w:val="00D200A7"/>
    <w:rsid w:val="00D73CBE"/>
    <w:rsid w:val="00D8291D"/>
    <w:rsid w:val="00DA328A"/>
    <w:rsid w:val="00DC462B"/>
    <w:rsid w:val="00E413C1"/>
    <w:rsid w:val="00E86444"/>
    <w:rsid w:val="00E91B6E"/>
    <w:rsid w:val="00E9587D"/>
    <w:rsid w:val="00EC4AB5"/>
    <w:rsid w:val="00ED6777"/>
    <w:rsid w:val="00EE4064"/>
    <w:rsid w:val="00F242D3"/>
    <w:rsid w:val="00F733FC"/>
    <w:rsid w:val="00F85111"/>
    <w:rsid w:val="00FA0AEE"/>
    <w:rsid w:val="00FA33DF"/>
    <w:rsid w:val="00FB0D9D"/>
    <w:rsid w:val="00FB4DC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B82BB"/>
  <w15:docId w15:val="{792A9F78-9A05-470F-9A8A-C4405770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53F13"/>
    <w:pPr>
      <w:spacing w:after="200" w:line="276" w:lineRule="auto"/>
    </w:pPr>
    <w:rPr>
      <w:rFonts w:eastAsiaTheme="minorEastAsia"/>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27885"/>
    <w:pPr>
      <w:spacing w:after="160" w:line="259" w:lineRule="auto"/>
      <w:ind w:left="720"/>
      <w:contextualSpacing/>
    </w:pPr>
    <w:rPr>
      <w:rFonts w:eastAsiaTheme="minorHAnsi"/>
      <w:lang w:eastAsia="en-US"/>
    </w:rPr>
  </w:style>
  <w:style w:type="paragraph" w:styleId="Textpoznpodarou">
    <w:name w:val="footnote text"/>
    <w:basedOn w:val="Normln"/>
    <w:link w:val="TextpoznpodarouChar"/>
    <w:uiPriority w:val="99"/>
    <w:semiHidden/>
    <w:unhideWhenUsed/>
    <w:rsid w:val="00527885"/>
    <w:pPr>
      <w:spacing w:after="0" w:line="240" w:lineRule="auto"/>
    </w:pPr>
    <w:rPr>
      <w:rFonts w:eastAsiaTheme="minorHAnsi"/>
      <w:sz w:val="20"/>
      <w:szCs w:val="20"/>
      <w:lang w:eastAsia="en-US"/>
    </w:rPr>
  </w:style>
  <w:style w:type="character" w:customStyle="1" w:styleId="TextpoznpodarouChar">
    <w:name w:val="Text pozn. pod čarou Char"/>
    <w:basedOn w:val="Standardnpsmoodstavce"/>
    <w:link w:val="Textpoznpodarou"/>
    <w:uiPriority w:val="99"/>
    <w:semiHidden/>
    <w:rsid w:val="00527885"/>
    <w:rPr>
      <w:sz w:val="20"/>
      <w:szCs w:val="20"/>
    </w:rPr>
  </w:style>
  <w:style w:type="character" w:styleId="Znakapoznpodarou">
    <w:name w:val="footnote reference"/>
    <w:basedOn w:val="Standardnpsmoodstavce"/>
    <w:uiPriority w:val="99"/>
    <w:semiHidden/>
    <w:unhideWhenUsed/>
    <w:rsid w:val="00527885"/>
    <w:rPr>
      <w:vertAlign w:val="superscript"/>
    </w:rPr>
  </w:style>
  <w:style w:type="character" w:styleId="Odkaznakoment">
    <w:name w:val="annotation reference"/>
    <w:basedOn w:val="Standardnpsmoodstavce"/>
    <w:uiPriority w:val="99"/>
    <w:semiHidden/>
    <w:unhideWhenUsed/>
    <w:rsid w:val="00527885"/>
    <w:rPr>
      <w:sz w:val="16"/>
      <w:szCs w:val="16"/>
    </w:rPr>
  </w:style>
  <w:style w:type="paragraph" w:styleId="Textkomente">
    <w:name w:val="annotation text"/>
    <w:basedOn w:val="Normln"/>
    <w:link w:val="TextkomenteChar"/>
    <w:uiPriority w:val="99"/>
    <w:unhideWhenUsed/>
    <w:rsid w:val="00527885"/>
    <w:pPr>
      <w:spacing w:line="240" w:lineRule="auto"/>
    </w:pPr>
    <w:rPr>
      <w:sz w:val="20"/>
      <w:szCs w:val="20"/>
    </w:rPr>
  </w:style>
  <w:style w:type="character" w:customStyle="1" w:styleId="TextkomenteChar">
    <w:name w:val="Text komentáře Char"/>
    <w:basedOn w:val="Standardnpsmoodstavce"/>
    <w:link w:val="Textkomente"/>
    <w:uiPriority w:val="99"/>
    <w:rsid w:val="00527885"/>
    <w:rPr>
      <w:sz w:val="20"/>
      <w:szCs w:val="20"/>
    </w:rPr>
  </w:style>
  <w:style w:type="paragraph" w:styleId="Pedmtkomente">
    <w:name w:val="annotation subject"/>
    <w:basedOn w:val="Textkomente"/>
    <w:next w:val="Textkomente"/>
    <w:link w:val="PedmtkomenteChar"/>
    <w:uiPriority w:val="99"/>
    <w:semiHidden/>
    <w:unhideWhenUsed/>
    <w:rsid w:val="00FB4DC4"/>
    <w:rPr>
      <w:b/>
      <w:bCs/>
    </w:rPr>
  </w:style>
  <w:style w:type="character" w:customStyle="1" w:styleId="PedmtkomenteChar">
    <w:name w:val="Předmět komentáře Char"/>
    <w:basedOn w:val="TextkomenteChar"/>
    <w:link w:val="Pedmtkomente"/>
    <w:uiPriority w:val="99"/>
    <w:semiHidden/>
    <w:rsid w:val="00FB4DC4"/>
    <w:rPr>
      <w:b/>
      <w:bCs/>
      <w:sz w:val="20"/>
      <w:szCs w:val="20"/>
    </w:rPr>
  </w:style>
  <w:style w:type="paragraph" w:styleId="Revize">
    <w:name w:val="Revision"/>
    <w:hidden/>
    <w:uiPriority w:val="99"/>
    <w:semiHidden/>
    <w:rsid w:val="00FB4DC4"/>
    <w:pPr>
      <w:spacing w:after="0" w:line="240" w:lineRule="auto"/>
    </w:pPr>
  </w:style>
  <w:style w:type="paragraph" w:styleId="Textbubliny">
    <w:name w:val="Balloon Text"/>
    <w:basedOn w:val="Normln"/>
    <w:link w:val="TextbublinyChar"/>
    <w:uiPriority w:val="99"/>
    <w:semiHidden/>
    <w:unhideWhenUsed/>
    <w:rsid w:val="00FB4DC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B4DC4"/>
    <w:rPr>
      <w:rFonts w:ascii="Segoe UI" w:hAnsi="Segoe UI" w:cs="Segoe UI"/>
      <w:sz w:val="18"/>
      <w:szCs w:val="18"/>
    </w:rPr>
  </w:style>
  <w:style w:type="paragraph" w:customStyle="1" w:styleId="Default">
    <w:name w:val="Default"/>
    <w:rsid w:val="00276F5E"/>
    <w:pPr>
      <w:autoSpaceDE w:val="0"/>
      <w:autoSpaceDN w:val="0"/>
      <w:adjustRightInd w:val="0"/>
      <w:spacing w:after="0" w:line="240" w:lineRule="auto"/>
    </w:pPr>
    <w:rPr>
      <w:rFonts w:ascii="Arial" w:hAnsi="Arial" w:cs="Arial"/>
      <w:color w:val="000000"/>
      <w:sz w:val="24"/>
      <w:szCs w:val="24"/>
    </w:rPr>
  </w:style>
  <w:style w:type="paragraph" w:styleId="Zhlav">
    <w:name w:val="header"/>
    <w:basedOn w:val="Normln"/>
    <w:link w:val="ZhlavChar"/>
    <w:uiPriority w:val="99"/>
    <w:unhideWhenUsed/>
    <w:rsid w:val="00345DCF"/>
    <w:pPr>
      <w:tabs>
        <w:tab w:val="center" w:pos="4536"/>
        <w:tab w:val="right" w:pos="9072"/>
      </w:tabs>
      <w:spacing w:after="0" w:line="240" w:lineRule="auto"/>
    </w:pPr>
    <w:rPr>
      <w:rFonts w:eastAsiaTheme="minorHAnsi"/>
      <w:lang w:eastAsia="en-US"/>
    </w:rPr>
  </w:style>
  <w:style w:type="character" w:customStyle="1" w:styleId="ZhlavChar">
    <w:name w:val="Záhlaví Char"/>
    <w:basedOn w:val="Standardnpsmoodstavce"/>
    <w:link w:val="Zhlav"/>
    <w:uiPriority w:val="99"/>
    <w:rsid w:val="00345DCF"/>
  </w:style>
  <w:style w:type="paragraph" w:styleId="Zpat">
    <w:name w:val="footer"/>
    <w:basedOn w:val="Normln"/>
    <w:link w:val="ZpatChar"/>
    <w:uiPriority w:val="99"/>
    <w:unhideWhenUsed/>
    <w:rsid w:val="00345DCF"/>
    <w:pPr>
      <w:tabs>
        <w:tab w:val="center" w:pos="4536"/>
        <w:tab w:val="right" w:pos="9072"/>
      </w:tabs>
      <w:spacing w:after="0" w:line="240" w:lineRule="auto"/>
    </w:pPr>
    <w:rPr>
      <w:rFonts w:eastAsiaTheme="minorHAnsi"/>
      <w:lang w:eastAsia="en-US"/>
    </w:rPr>
  </w:style>
  <w:style w:type="character" w:customStyle="1" w:styleId="ZpatChar">
    <w:name w:val="Zápatí Char"/>
    <w:basedOn w:val="Standardnpsmoodstavce"/>
    <w:link w:val="Zpat"/>
    <w:uiPriority w:val="99"/>
    <w:rsid w:val="00345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293311">
      <w:bodyDiv w:val="1"/>
      <w:marLeft w:val="0"/>
      <w:marRight w:val="0"/>
      <w:marTop w:val="0"/>
      <w:marBottom w:val="0"/>
      <w:divBdr>
        <w:top w:val="none" w:sz="0" w:space="0" w:color="auto"/>
        <w:left w:val="none" w:sz="0" w:space="0" w:color="auto"/>
        <w:bottom w:val="none" w:sz="0" w:space="0" w:color="auto"/>
        <w:right w:val="none" w:sz="0" w:space="0" w:color="auto"/>
      </w:divBdr>
    </w:div>
    <w:div w:id="564489071">
      <w:bodyDiv w:val="1"/>
      <w:marLeft w:val="0"/>
      <w:marRight w:val="0"/>
      <w:marTop w:val="0"/>
      <w:marBottom w:val="0"/>
      <w:divBdr>
        <w:top w:val="none" w:sz="0" w:space="0" w:color="auto"/>
        <w:left w:val="none" w:sz="0" w:space="0" w:color="auto"/>
        <w:bottom w:val="none" w:sz="0" w:space="0" w:color="auto"/>
        <w:right w:val="none" w:sz="0" w:space="0" w:color="auto"/>
      </w:divBdr>
    </w:div>
    <w:div w:id="591938652">
      <w:bodyDiv w:val="1"/>
      <w:marLeft w:val="0"/>
      <w:marRight w:val="0"/>
      <w:marTop w:val="0"/>
      <w:marBottom w:val="0"/>
      <w:divBdr>
        <w:top w:val="none" w:sz="0" w:space="0" w:color="auto"/>
        <w:left w:val="none" w:sz="0" w:space="0" w:color="auto"/>
        <w:bottom w:val="none" w:sz="0" w:space="0" w:color="auto"/>
        <w:right w:val="none" w:sz="0" w:space="0" w:color="auto"/>
      </w:divBdr>
    </w:div>
    <w:div w:id="605700668">
      <w:bodyDiv w:val="1"/>
      <w:marLeft w:val="0"/>
      <w:marRight w:val="0"/>
      <w:marTop w:val="0"/>
      <w:marBottom w:val="0"/>
      <w:divBdr>
        <w:top w:val="none" w:sz="0" w:space="0" w:color="auto"/>
        <w:left w:val="none" w:sz="0" w:space="0" w:color="auto"/>
        <w:bottom w:val="none" w:sz="0" w:space="0" w:color="auto"/>
        <w:right w:val="none" w:sz="0" w:space="0" w:color="auto"/>
      </w:divBdr>
    </w:div>
    <w:div w:id="913516219">
      <w:bodyDiv w:val="1"/>
      <w:marLeft w:val="0"/>
      <w:marRight w:val="0"/>
      <w:marTop w:val="0"/>
      <w:marBottom w:val="0"/>
      <w:divBdr>
        <w:top w:val="none" w:sz="0" w:space="0" w:color="auto"/>
        <w:left w:val="none" w:sz="0" w:space="0" w:color="auto"/>
        <w:bottom w:val="none" w:sz="0" w:space="0" w:color="auto"/>
        <w:right w:val="none" w:sz="0" w:space="0" w:color="auto"/>
      </w:divBdr>
    </w:div>
    <w:div w:id="1130249659">
      <w:bodyDiv w:val="1"/>
      <w:marLeft w:val="0"/>
      <w:marRight w:val="0"/>
      <w:marTop w:val="0"/>
      <w:marBottom w:val="0"/>
      <w:divBdr>
        <w:top w:val="none" w:sz="0" w:space="0" w:color="auto"/>
        <w:left w:val="none" w:sz="0" w:space="0" w:color="auto"/>
        <w:bottom w:val="none" w:sz="0" w:space="0" w:color="auto"/>
        <w:right w:val="none" w:sz="0" w:space="0" w:color="auto"/>
      </w:divBdr>
    </w:div>
    <w:div w:id="155839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4948-D312-4644-8E8D-4F1A94DA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2874</Characters>
  <Application>Microsoft Office Word</Application>
  <DocSecurity>0</DocSecurity>
  <Lines>23</Lines>
  <Paragraphs>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Holubová</dc:creator>
  <cp:lastModifiedBy>Fialova Pavlina</cp:lastModifiedBy>
  <cp:revision>3</cp:revision>
  <cp:lastPrinted>2015-12-02T20:22:00Z</cp:lastPrinted>
  <dcterms:created xsi:type="dcterms:W3CDTF">2025-06-16T08:06:00Z</dcterms:created>
  <dcterms:modified xsi:type="dcterms:W3CDTF">2025-06-18T08:03:00Z</dcterms:modified>
</cp:coreProperties>
</file>